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D1925" w:rsidRPr="002D1925">
        <w:rPr>
          <w:rFonts w:ascii="PT Astra Serif" w:hAnsi="PT Astra Serif"/>
          <w:sz w:val="24"/>
          <w:szCs w:val="24"/>
        </w:rPr>
        <w:t>расходных материалов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2</w:t>
      </w:r>
      <w:r>
        <w:rPr>
          <w:rFonts w:ascii="PT Astra Serif" w:hAnsi="PT Astra Serif"/>
          <w:sz w:val="24"/>
          <w:szCs w:val="24"/>
        </w:rPr>
        <w:t>.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3</w:t>
      </w:r>
      <w:r>
        <w:rPr>
          <w:rFonts w:ascii="PT Astra Serif" w:hAnsi="PT Astra Serif"/>
          <w:sz w:val="24"/>
          <w:szCs w:val="24"/>
        </w:rPr>
        <w:t xml:space="preserve">.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7A613C" w:rsidRPr="007A613C"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sidR="00BE7691">
        <w:rPr>
          <w:rFonts w:ascii="PT Astra Serif" w:hAnsi="PT Astra Serif"/>
          <w:sz w:val="24"/>
          <w:szCs w:val="24"/>
        </w:rPr>
        <w:t>4</w:t>
      </w:r>
      <w:r>
        <w:rPr>
          <w:rFonts w:ascii="PT Astra Serif" w:hAnsi="PT Astra Serif"/>
          <w:sz w:val="24"/>
          <w:szCs w:val="24"/>
        </w:rPr>
        <w:t>.</w:t>
      </w:r>
      <w:r w:rsidRPr="00A35E91">
        <w:rPr>
          <w:rFonts w:ascii="PT Astra Serif" w:hAnsi="PT Astra Serif"/>
          <w:sz w:val="24"/>
          <w:szCs w:val="24"/>
        </w:rPr>
        <w:t xml:space="preserve"> </w:t>
      </w:r>
      <w:r w:rsidR="007A613C">
        <w:rPr>
          <w:rFonts w:ascii="PT Astra Serif" w:hAnsi="PT Astra Serif"/>
          <w:sz w:val="24"/>
          <w:szCs w:val="24"/>
        </w:rPr>
        <w:t xml:space="preserve">Ресурс расходных материалов измеряется в соответствии с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19752 для лазерных монохромных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19798:2007 для лазерных цветных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24711:2007 для цветных струйных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24712:2007 для матричной печати.</w:t>
      </w:r>
    </w:p>
    <w:p w:rsidR="00A35E91" w:rsidRPr="00A35E91" w:rsidRDefault="007A613C" w:rsidP="00A35E91">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5</w:t>
      </w:r>
      <w:r>
        <w:rPr>
          <w:rFonts w:ascii="PT Astra Serif" w:hAnsi="PT Astra Serif"/>
          <w:sz w:val="24"/>
          <w:szCs w:val="24"/>
        </w:rPr>
        <w:t xml:space="preserve">. </w:t>
      </w:r>
      <w:r w:rsidR="00A35E91" w:rsidRPr="00A35E91">
        <w:rPr>
          <w:rFonts w:ascii="PT Astra Serif" w:hAnsi="PT Astra Serif"/>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bookmarkEnd w:id="0"/>
    <w:bookmarkEnd w:id="1"/>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940E25" w:rsidRPr="0012081E" w:rsidTr="009A17EC">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65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0219BB" w:rsidRDefault="000219BB" w:rsidP="00AD5E74">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4B02AF" w:rsidP="00AD5E74">
            <w:pPr>
              <w:rPr>
                <w:rFonts w:ascii="PT Astra Serif" w:hAnsi="PT Astra Serif"/>
                <w:sz w:val="18"/>
                <w:szCs w:val="18"/>
              </w:rPr>
            </w:pPr>
            <w:r w:rsidRPr="004B02AF">
              <w:rPr>
                <w:rFonts w:ascii="PT Astra Serif" w:hAnsi="PT Astra Serif"/>
                <w:sz w:val="18"/>
                <w:szCs w:val="18"/>
              </w:rPr>
              <w:t>26.20.40.170</w:t>
            </w:r>
          </w:p>
        </w:tc>
        <w:tc>
          <w:tcPr>
            <w:tcW w:w="1655" w:type="dxa"/>
            <w:tcBorders>
              <w:top w:val="single" w:sz="4" w:space="0" w:color="000000"/>
              <w:left w:val="single" w:sz="4" w:space="0" w:color="000000"/>
              <w:bottom w:val="single" w:sz="4" w:space="0" w:color="000000"/>
            </w:tcBorders>
            <w:shd w:val="clear" w:color="auto" w:fill="auto"/>
          </w:tcPr>
          <w:p w:rsidR="00977D6F" w:rsidRPr="00987A47" w:rsidRDefault="00977D6F" w:rsidP="00AD5E74">
            <w:pPr>
              <w:autoSpaceDE w:val="0"/>
              <w:jc w:val="both"/>
              <w:rPr>
                <w:rFonts w:ascii="PT Astra Serif" w:hAnsi="PT Astra Serif"/>
              </w:rPr>
            </w:pPr>
            <w:r>
              <w:rPr>
                <w:rFonts w:ascii="PT Astra Serif" w:hAnsi="PT Astra Serif"/>
              </w:rPr>
              <w:t>Фотобарабан</w:t>
            </w:r>
          </w:p>
        </w:tc>
        <w:tc>
          <w:tcPr>
            <w:tcW w:w="5007" w:type="dxa"/>
            <w:tcBorders>
              <w:top w:val="single" w:sz="4" w:space="0" w:color="000000"/>
              <w:left w:val="single" w:sz="4" w:space="0" w:color="000000"/>
              <w:bottom w:val="single" w:sz="4" w:space="0" w:color="000000"/>
            </w:tcBorders>
            <w:shd w:val="clear" w:color="auto" w:fill="auto"/>
          </w:tcPr>
          <w:p w:rsidR="00977D6F" w:rsidRPr="00874A48" w:rsidRDefault="00BA0A32" w:rsidP="00AD5E74">
            <w:pPr>
              <w:jc w:val="both"/>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совместимость с принтерами и МФУ: </w:t>
            </w:r>
            <w:r w:rsidRPr="00874A48">
              <w:rPr>
                <w:rFonts w:ascii="PT Astra Serif" w:hAnsi="PT Astra Serif"/>
                <w:sz w:val="18"/>
                <w:szCs w:val="16"/>
                <w:lang w:val="en-US"/>
              </w:rPr>
              <w:t>Pantum</w:t>
            </w:r>
            <w:r w:rsidRPr="00874A48">
              <w:rPr>
                <w:rFonts w:ascii="PT Astra Serif" w:hAnsi="PT Astra Serif"/>
                <w:sz w:val="18"/>
                <w:szCs w:val="16"/>
              </w:rPr>
              <w:t xml:space="preserve"> </w:t>
            </w:r>
            <w:r w:rsidRPr="00874A48">
              <w:rPr>
                <w:rFonts w:ascii="PT Astra Serif" w:hAnsi="PT Astra Serif"/>
                <w:sz w:val="18"/>
                <w:szCs w:val="16"/>
                <w:lang w:val="en-US"/>
              </w:rPr>
              <w:t>BP</w:t>
            </w:r>
            <w:r w:rsidRPr="00874A48">
              <w:rPr>
                <w:rFonts w:ascii="PT Astra Serif" w:hAnsi="PT Astra Serif"/>
                <w:sz w:val="18"/>
                <w:szCs w:val="16"/>
              </w:rPr>
              <w:t>5100</w:t>
            </w:r>
            <w:r>
              <w:rPr>
                <w:rFonts w:ascii="PT Astra Serif" w:hAnsi="PT Astra Serif"/>
                <w:sz w:val="18"/>
                <w:szCs w:val="16"/>
                <w:lang w:val="en-US"/>
              </w:rPr>
              <w:t>A</w:t>
            </w:r>
            <w:r w:rsidRPr="00874A48">
              <w:rPr>
                <w:rFonts w:ascii="PT Astra Serif" w:hAnsi="PT Astra Serif"/>
                <w:sz w:val="18"/>
                <w:szCs w:val="16"/>
                <w:lang w:val="en-US"/>
              </w:rPr>
              <w:t>DN</w:t>
            </w:r>
            <w:r w:rsidRPr="00517412">
              <w:rPr>
                <w:rFonts w:ascii="PT Astra Serif" w:hAnsi="PT Astra Serif"/>
                <w:sz w:val="18"/>
                <w:szCs w:val="16"/>
              </w:rPr>
              <w:t xml:space="preserve"> (</w:t>
            </w:r>
            <w:r>
              <w:rPr>
                <w:rFonts w:ascii="PT Astra Serif" w:hAnsi="PT Astra Serif"/>
                <w:sz w:val="18"/>
                <w:szCs w:val="16"/>
              </w:rPr>
              <w:t>прошивки 2.А.0.2, 3.А.0.8)</w:t>
            </w:r>
            <w:r w:rsidRPr="00874A48">
              <w:rPr>
                <w:rFonts w:ascii="PT Astra Serif" w:hAnsi="PT Astra Serif"/>
                <w:sz w:val="18"/>
                <w:szCs w:val="16"/>
              </w:rPr>
              <w:t>;</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код (артикул) присвоенный производителем товара: </w:t>
            </w:r>
            <w:r w:rsidRPr="00874A48">
              <w:rPr>
                <w:rFonts w:ascii="PT Astra Serif" w:hAnsi="PT Astra Serif"/>
                <w:sz w:val="18"/>
                <w:szCs w:val="16"/>
                <w:lang w:val="en-US"/>
              </w:rPr>
              <w:t>D</w:t>
            </w:r>
            <w:bookmarkStart w:id="2" w:name="_GoBack"/>
            <w:bookmarkEnd w:id="2"/>
            <w:r w:rsidRPr="00874A48">
              <w:rPr>
                <w:rFonts w:ascii="PT Astra Serif" w:hAnsi="PT Astra Serif"/>
                <w:sz w:val="18"/>
                <w:szCs w:val="16"/>
                <w:lang w:val="en-US"/>
              </w:rPr>
              <w:t>L</w:t>
            </w:r>
            <w:r w:rsidRPr="00874A48">
              <w:rPr>
                <w:rFonts w:ascii="PT Astra Serif" w:hAnsi="PT Astra Serif"/>
                <w:sz w:val="18"/>
                <w:szCs w:val="16"/>
              </w:rPr>
              <w:t>-5120;</w:t>
            </w:r>
          </w:p>
          <w:p w:rsidR="00977D6F" w:rsidRPr="00874A48" w:rsidRDefault="00977D6F" w:rsidP="00BA0A32">
            <w:pPr>
              <w:jc w:val="both"/>
              <w:rPr>
                <w:rFonts w:ascii="PT Astra Serif" w:hAnsi="PT Astra Serif"/>
                <w:sz w:val="18"/>
                <w:szCs w:val="16"/>
              </w:rPr>
            </w:pPr>
            <w:r w:rsidRPr="00874A48">
              <w:rPr>
                <w:rFonts w:ascii="PT Astra Serif" w:hAnsi="PT Astra Serif"/>
                <w:sz w:val="18"/>
                <w:szCs w:val="16"/>
              </w:rPr>
              <w:t xml:space="preserve">- ресурс, </w:t>
            </w:r>
            <w:r w:rsidR="00235C90">
              <w:rPr>
                <w:rFonts w:ascii="PT Astra Serif" w:hAnsi="PT Astra Serif"/>
                <w:sz w:val="18"/>
                <w:szCs w:val="16"/>
              </w:rPr>
              <w:t>листов</w:t>
            </w:r>
            <w:r w:rsidRPr="00874A48">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sidRPr="00874A48">
              <w:rPr>
                <w:rFonts w:ascii="PT Astra Serif" w:hAnsi="PT Astra Serif"/>
                <w:sz w:val="18"/>
                <w:szCs w:val="16"/>
              </w:rPr>
              <w:t xml:space="preserve">: </w:t>
            </w:r>
            <w:r w:rsidR="00235C90" w:rsidRPr="00235C90">
              <w:rPr>
                <w:rFonts w:ascii="PT Astra Serif" w:hAnsi="PT Astra Serif"/>
                <w:sz w:val="18"/>
                <w:szCs w:val="16"/>
              </w:rPr>
              <w:t>≥</w:t>
            </w:r>
            <w:r w:rsidRPr="00874A48">
              <w:rPr>
                <w:rFonts w:ascii="PT Astra Serif" w:hAnsi="PT Astra Serif"/>
                <w:sz w:val="18"/>
                <w:szCs w:val="16"/>
              </w:rPr>
              <w:t xml:space="preserve"> 30</w:t>
            </w:r>
            <w:r w:rsidR="00BA0A32">
              <w:rPr>
                <w:rFonts w:ascii="PT Astra Serif" w:hAnsi="PT Astra Serif"/>
                <w:sz w:val="18"/>
                <w:szCs w:val="16"/>
              </w:rPr>
              <w:t> </w:t>
            </w:r>
            <w:r w:rsidRPr="00874A48">
              <w:rPr>
                <w:rFonts w:ascii="PT Astra Serif" w:hAnsi="PT Astra Serif"/>
                <w:sz w:val="18"/>
                <w:szCs w:val="16"/>
              </w:rPr>
              <w:t>000</w:t>
            </w:r>
            <w:r w:rsidR="00BA0A32">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2D0995" w:rsidRDefault="00F3716A" w:rsidP="00AD5E74">
            <w:pPr>
              <w:autoSpaceDE w:val="0"/>
              <w:spacing w:after="60"/>
              <w:jc w:val="center"/>
              <w:rPr>
                <w:rFonts w:ascii="PT Astra Serif" w:hAnsi="PT Astra Serif"/>
                <w:szCs w:val="24"/>
                <w:lang w:val="en-US"/>
              </w:rPr>
            </w:pPr>
            <w:r>
              <w:rPr>
                <w:rFonts w:ascii="PT Astra Serif" w:hAnsi="PT Astra Serif"/>
                <w:szCs w:val="24"/>
                <w:lang w:val="en-US"/>
              </w:rPr>
              <w:t>10</w:t>
            </w:r>
          </w:p>
        </w:tc>
      </w:tr>
      <w:tr w:rsidR="00FA6382"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FA6382" w:rsidRPr="0012081E" w:rsidRDefault="000219BB" w:rsidP="00FA6382">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FA6382" w:rsidRDefault="004B02AF" w:rsidP="00FA6382">
            <w:r w:rsidRPr="004B02AF">
              <w:rPr>
                <w:rFonts w:ascii="PT Astra Serif" w:hAnsi="PT Astra Serif"/>
                <w:sz w:val="18"/>
                <w:szCs w:val="18"/>
              </w:rPr>
              <w:t>26.20.40.170</w:t>
            </w:r>
          </w:p>
        </w:tc>
        <w:tc>
          <w:tcPr>
            <w:tcW w:w="1655" w:type="dxa"/>
            <w:tcBorders>
              <w:top w:val="single" w:sz="4" w:space="0" w:color="000000"/>
              <w:left w:val="single" w:sz="4" w:space="0" w:color="000000"/>
              <w:bottom w:val="single" w:sz="4" w:space="0" w:color="000000"/>
            </w:tcBorders>
            <w:shd w:val="clear" w:color="auto" w:fill="auto"/>
          </w:tcPr>
          <w:p w:rsidR="00FA6382" w:rsidRPr="0012081E" w:rsidRDefault="00FA6382" w:rsidP="00FA6382">
            <w:pPr>
              <w:autoSpaceDE w:val="0"/>
              <w:jc w:val="both"/>
              <w:rPr>
                <w:rFonts w:ascii="PT Astra Serif" w:hAnsi="PT Astra Serif"/>
              </w:rPr>
            </w:pPr>
            <w:r>
              <w:rPr>
                <w:rFonts w:ascii="PT Astra Serif" w:hAnsi="PT Astra Serif"/>
              </w:rPr>
              <w:t>Фотобарабан</w:t>
            </w:r>
          </w:p>
        </w:tc>
        <w:tc>
          <w:tcPr>
            <w:tcW w:w="5007" w:type="dxa"/>
            <w:tcBorders>
              <w:top w:val="single" w:sz="4" w:space="0" w:color="000000"/>
              <w:left w:val="single" w:sz="4" w:space="0" w:color="000000"/>
              <w:bottom w:val="single" w:sz="4" w:space="0" w:color="000000"/>
            </w:tcBorders>
            <w:shd w:val="clear" w:color="auto" w:fill="auto"/>
          </w:tcPr>
          <w:p w:rsidR="00FA6382" w:rsidRDefault="00BA0A32" w:rsidP="00FA6382">
            <w:pPr>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FA6382" w:rsidRPr="00987A47" w:rsidRDefault="00FA6382" w:rsidP="00FA6382">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M2035dn, ECOSYS P2135dn, ECOSYS M2535dn, FS-1035MFP/DP, FS-1135MFP, FS-1320DN, </w:t>
            </w:r>
            <w:r>
              <w:rPr>
                <w:rFonts w:ascii="PT Astra Serif" w:hAnsi="PT Astra Serif"/>
                <w:sz w:val="18"/>
                <w:szCs w:val="16"/>
              </w:rPr>
              <w:t>FS-1370DN;</w:t>
            </w:r>
          </w:p>
          <w:p w:rsidR="00FA6382" w:rsidRDefault="00FA6382" w:rsidP="00FA6382">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DK</w:t>
            </w:r>
            <w:r w:rsidRPr="00855A63">
              <w:rPr>
                <w:rFonts w:ascii="PT Astra Serif" w:hAnsi="PT Astra Serif"/>
                <w:color w:val="C00000"/>
                <w:sz w:val="18"/>
                <w:szCs w:val="16"/>
              </w:rPr>
              <w:t>-170</w:t>
            </w:r>
            <w:r>
              <w:rPr>
                <w:rFonts w:ascii="PT Astra Serif" w:hAnsi="PT Astra Serif"/>
                <w:sz w:val="18"/>
                <w:szCs w:val="16"/>
              </w:rPr>
              <w:t>;</w:t>
            </w:r>
          </w:p>
          <w:p w:rsidR="00FA6382" w:rsidRPr="00B346C1" w:rsidRDefault="00FA6382" w:rsidP="004E2490">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color w:val="C00000"/>
                <w:sz w:val="18"/>
                <w:szCs w:val="16"/>
              </w:rPr>
              <w:t xml:space="preserve">100 </w:t>
            </w:r>
            <w:r w:rsidRPr="00855A63">
              <w:rPr>
                <w:rFonts w:ascii="PT Astra Serif" w:hAnsi="PT Astra Serif"/>
                <w:color w:val="C00000"/>
                <w:sz w:val="18"/>
                <w:szCs w:val="16"/>
              </w:rPr>
              <w:t>000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6382" w:rsidRPr="004C54D1" w:rsidRDefault="00FA6382" w:rsidP="00FA6382">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6382" w:rsidRPr="00F3716A" w:rsidRDefault="00FA6382" w:rsidP="00FA6382">
            <w:pPr>
              <w:autoSpaceDE w:val="0"/>
              <w:spacing w:after="60"/>
              <w:jc w:val="center"/>
              <w:rPr>
                <w:rFonts w:ascii="PT Astra Serif" w:hAnsi="PT Astra Serif"/>
                <w:szCs w:val="24"/>
                <w:lang w:val="en-US"/>
              </w:rPr>
            </w:pPr>
            <w:r>
              <w:rPr>
                <w:rFonts w:ascii="PT Astra Serif" w:hAnsi="PT Astra Serif"/>
                <w:szCs w:val="24"/>
                <w:lang w:val="en-US"/>
              </w:rPr>
              <w:t>8</w:t>
            </w:r>
          </w:p>
        </w:tc>
      </w:tr>
    </w:tbl>
    <w:p w:rsidR="001C7D38" w:rsidRDefault="001C7D38" w:rsidP="001C7D38">
      <w:pPr>
        <w:pStyle w:val="10"/>
        <w:spacing w:after="0" w:line="240" w:lineRule="auto"/>
        <w:jc w:val="both"/>
        <w:rPr>
          <w:rFonts w:ascii="PT Astra Serif" w:hAnsi="PT Astra Serif"/>
          <w:b/>
          <w:szCs w:val="24"/>
        </w:rPr>
      </w:pPr>
    </w:p>
    <w:p w:rsidR="00FB7BAA" w:rsidRPr="00BE7691" w:rsidRDefault="002D1925" w:rsidP="0012081E">
      <w:pPr>
        <w:pStyle w:val="10"/>
        <w:spacing w:after="0" w:line="240" w:lineRule="auto"/>
        <w:ind w:firstLine="709"/>
        <w:jc w:val="both"/>
        <w:rPr>
          <w:rFonts w:ascii="PT Astra Serif" w:hAnsi="PT Astra Serif"/>
          <w:b/>
          <w:szCs w:val="24"/>
        </w:rPr>
      </w:pPr>
      <w:r w:rsidRPr="00BE7691">
        <w:rPr>
          <w:rFonts w:ascii="PT Astra Serif" w:hAnsi="PT Astra Serif"/>
          <w:b/>
          <w:szCs w:val="24"/>
        </w:rPr>
        <w:t>4</w:t>
      </w:r>
      <w:r w:rsidR="0012081E" w:rsidRPr="00BE7691">
        <w:rPr>
          <w:rFonts w:ascii="PT Astra Serif" w:hAnsi="PT Astra Serif"/>
          <w:b/>
          <w:szCs w:val="24"/>
        </w:rPr>
        <w:t xml:space="preserve">. </w:t>
      </w:r>
      <w:r w:rsidR="00FB7BAA" w:rsidRPr="00BE7691">
        <w:rPr>
          <w:rFonts w:ascii="PT Astra Serif" w:hAnsi="PT Astra Serif"/>
          <w:b/>
          <w:szCs w:val="24"/>
        </w:rPr>
        <w:t>Требования к расходным материалам для копировально-множительной техники:</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BE7691" w:rsidRPr="00BE7691" w:rsidRDefault="00BE7691" w:rsidP="00BE7691">
      <w:pPr>
        <w:autoSpaceDE w:val="0"/>
        <w:autoSpaceDN w:val="0"/>
        <w:adjustRightInd w:val="0"/>
        <w:ind w:firstLine="709"/>
        <w:jc w:val="both"/>
        <w:rPr>
          <w:rFonts w:ascii="PT Astra Serif" w:hAnsi="PT Astra Serif"/>
          <w:b/>
          <w:sz w:val="24"/>
          <w:szCs w:val="24"/>
        </w:rPr>
      </w:pPr>
      <w:r w:rsidRPr="00BE7691">
        <w:rPr>
          <w:rFonts w:ascii="PT Astra Serif" w:hAnsi="PT Astra Serif"/>
          <w:b/>
          <w:sz w:val="24"/>
          <w:szCs w:val="24"/>
        </w:rPr>
        <w:t>5. Гарантийные обязательства: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5.3. Информация о требованиях к гарантийному обслуживанию товаров: </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5.4. Объём предоставления гарантий качества товаров, работ услуг:</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5.5. Порядок предоставления обеспечения, требования к обеспечению гарантийных обязательств:</w:t>
      </w:r>
    </w:p>
    <w:p w:rsidR="00BE7691" w:rsidRDefault="00BE7691" w:rsidP="00BE769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7691" w:rsidRPr="004D3B17" w:rsidRDefault="00BE7691" w:rsidP="00BE769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7691" w:rsidRDefault="00BE7691" w:rsidP="00BE769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7691" w:rsidRDefault="00BE7691" w:rsidP="00BE769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F8" w:rsidRDefault="00E21AF8">
      <w:r>
        <w:separator/>
      </w:r>
    </w:p>
  </w:endnote>
  <w:endnote w:type="continuationSeparator" w:id="0">
    <w:p w:rsidR="00E21AF8" w:rsidRDefault="00E2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E" w:rsidRDefault="0066690E">
    <w:pPr>
      <w:pStyle w:val="afff6"/>
      <w:jc w:val="center"/>
    </w:pPr>
    <w:r>
      <w:fldChar w:fldCharType="begin"/>
    </w:r>
    <w:r>
      <w:instrText>PAGE</w:instrText>
    </w:r>
    <w:r>
      <w:fldChar w:fldCharType="separate"/>
    </w:r>
    <w:r w:rsidR="004E2490">
      <w:rPr>
        <w:noProof/>
      </w:rPr>
      <w:t>3</w:t>
    </w:r>
    <w:r>
      <w:fldChar w:fldCharType="end"/>
    </w:r>
  </w:p>
  <w:p w:rsidR="0066690E" w:rsidRDefault="0066690E">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66690E" w:rsidRDefault="0066690E">
        <w:pPr>
          <w:pStyle w:val="afff6"/>
          <w:jc w:val="right"/>
        </w:pPr>
        <w:r>
          <w:fldChar w:fldCharType="begin"/>
        </w:r>
        <w:r>
          <w:instrText>PAGE   \* MERGEFORMAT</w:instrText>
        </w:r>
        <w:r>
          <w:fldChar w:fldCharType="separate"/>
        </w:r>
        <w:r w:rsidR="004E2490">
          <w:rPr>
            <w:noProof/>
          </w:rPr>
          <w:t>1</w:t>
        </w:r>
        <w:r>
          <w:fldChar w:fldCharType="end"/>
        </w:r>
      </w:p>
    </w:sdtContent>
  </w:sdt>
  <w:p w:rsidR="0066690E" w:rsidRDefault="0066690E">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F8" w:rsidRDefault="00E21AF8">
      <w:r>
        <w:separator/>
      </w:r>
    </w:p>
  </w:footnote>
  <w:footnote w:type="continuationSeparator" w:id="0">
    <w:p w:rsidR="00E21AF8" w:rsidRDefault="00E21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19BB"/>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E5D52"/>
    <w:rsid w:val="000F3C00"/>
    <w:rsid w:val="000F59FD"/>
    <w:rsid w:val="000F6BBB"/>
    <w:rsid w:val="0010256A"/>
    <w:rsid w:val="00107477"/>
    <w:rsid w:val="00111FF4"/>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329D"/>
    <w:rsid w:val="00164F05"/>
    <w:rsid w:val="00164FC4"/>
    <w:rsid w:val="00167869"/>
    <w:rsid w:val="0017076E"/>
    <w:rsid w:val="001714DF"/>
    <w:rsid w:val="00171654"/>
    <w:rsid w:val="0017359C"/>
    <w:rsid w:val="00173EF1"/>
    <w:rsid w:val="00174284"/>
    <w:rsid w:val="00181166"/>
    <w:rsid w:val="00186DA6"/>
    <w:rsid w:val="00197936"/>
    <w:rsid w:val="001A6DDC"/>
    <w:rsid w:val="001B2F51"/>
    <w:rsid w:val="001C0958"/>
    <w:rsid w:val="001C2A17"/>
    <w:rsid w:val="001C344B"/>
    <w:rsid w:val="001C39C2"/>
    <w:rsid w:val="001C3F7F"/>
    <w:rsid w:val="001C7D38"/>
    <w:rsid w:val="001D3581"/>
    <w:rsid w:val="001E04E3"/>
    <w:rsid w:val="001E7345"/>
    <w:rsid w:val="001E740B"/>
    <w:rsid w:val="001F3D99"/>
    <w:rsid w:val="00201057"/>
    <w:rsid w:val="002062FB"/>
    <w:rsid w:val="00206DB6"/>
    <w:rsid w:val="00210BC8"/>
    <w:rsid w:val="002120E5"/>
    <w:rsid w:val="00215CE1"/>
    <w:rsid w:val="00220834"/>
    <w:rsid w:val="00225FD7"/>
    <w:rsid w:val="0023476C"/>
    <w:rsid w:val="00235C90"/>
    <w:rsid w:val="00245AA5"/>
    <w:rsid w:val="00253837"/>
    <w:rsid w:val="0025389E"/>
    <w:rsid w:val="00253E46"/>
    <w:rsid w:val="0026174D"/>
    <w:rsid w:val="0026552C"/>
    <w:rsid w:val="00272139"/>
    <w:rsid w:val="0029179F"/>
    <w:rsid w:val="0029741C"/>
    <w:rsid w:val="002A6481"/>
    <w:rsid w:val="002B41E5"/>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6043"/>
    <w:rsid w:val="003F0827"/>
    <w:rsid w:val="003F570D"/>
    <w:rsid w:val="003F5959"/>
    <w:rsid w:val="003F7466"/>
    <w:rsid w:val="00400257"/>
    <w:rsid w:val="00416AA5"/>
    <w:rsid w:val="00417C47"/>
    <w:rsid w:val="0042067A"/>
    <w:rsid w:val="004263AD"/>
    <w:rsid w:val="00427429"/>
    <w:rsid w:val="0044717D"/>
    <w:rsid w:val="0046137D"/>
    <w:rsid w:val="0047456F"/>
    <w:rsid w:val="00475EF4"/>
    <w:rsid w:val="00476BAE"/>
    <w:rsid w:val="00480EA8"/>
    <w:rsid w:val="00482B2D"/>
    <w:rsid w:val="00485E81"/>
    <w:rsid w:val="004B02AF"/>
    <w:rsid w:val="004B5329"/>
    <w:rsid w:val="004C3828"/>
    <w:rsid w:val="004C3F06"/>
    <w:rsid w:val="004C54D1"/>
    <w:rsid w:val="004D3106"/>
    <w:rsid w:val="004E0BF7"/>
    <w:rsid w:val="004E15E2"/>
    <w:rsid w:val="004E2490"/>
    <w:rsid w:val="004F70F1"/>
    <w:rsid w:val="0051158D"/>
    <w:rsid w:val="00517412"/>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11168"/>
    <w:rsid w:val="00630516"/>
    <w:rsid w:val="00634E98"/>
    <w:rsid w:val="00642227"/>
    <w:rsid w:val="00646D6D"/>
    <w:rsid w:val="0065008C"/>
    <w:rsid w:val="0065498E"/>
    <w:rsid w:val="00660503"/>
    <w:rsid w:val="0066690E"/>
    <w:rsid w:val="00667E21"/>
    <w:rsid w:val="00670849"/>
    <w:rsid w:val="00675D21"/>
    <w:rsid w:val="00681FD2"/>
    <w:rsid w:val="0068634A"/>
    <w:rsid w:val="006A00FF"/>
    <w:rsid w:val="006A51DD"/>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36C60"/>
    <w:rsid w:val="0074739D"/>
    <w:rsid w:val="00753A5D"/>
    <w:rsid w:val="00756162"/>
    <w:rsid w:val="0076026E"/>
    <w:rsid w:val="00762052"/>
    <w:rsid w:val="00765FD7"/>
    <w:rsid w:val="007758A5"/>
    <w:rsid w:val="0078201B"/>
    <w:rsid w:val="00782A46"/>
    <w:rsid w:val="00783450"/>
    <w:rsid w:val="007A0323"/>
    <w:rsid w:val="007A3D3C"/>
    <w:rsid w:val="007A40CC"/>
    <w:rsid w:val="007A613C"/>
    <w:rsid w:val="007A666C"/>
    <w:rsid w:val="007B0BEF"/>
    <w:rsid w:val="007B4FB3"/>
    <w:rsid w:val="007B58E8"/>
    <w:rsid w:val="007B5A81"/>
    <w:rsid w:val="007C7869"/>
    <w:rsid w:val="007D438B"/>
    <w:rsid w:val="007E113A"/>
    <w:rsid w:val="007E5D5A"/>
    <w:rsid w:val="007F3B4D"/>
    <w:rsid w:val="007F60E8"/>
    <w:rsid w:val="007F69A7"/>
    <w:rsid w:val="007F6C9D"/>
    <w:rsid w:val="00801406"/>
    <w:rsid w:val="00811B68"/>
    <w:rsid w:val="00812495"/>
    <w:rsid w:val="00830267"/>
    <w:rsid w:val="00836252"/>
    <w:rsid w:val="00855A63"/>
    <w:rsid w:val="0086000C"/>
    <w:rsid w:val="00860616"/>
    <w:rsid w:val="00874A48"/>
    <w:rsid w:val="00890B82"/>
    <w:rsid w:val="00894E9D"/>
    <w:rsid w:val="008A0141"/>
    <w:rsid w:val="008A2F86"/>
    <w:rsid w:val="008A44F0"/>
    <w:rsid w:val="008B26DC"/>
    <w:rsid w:val="008B5A41"/>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18A8"/>
    <w:rsid w:val="009767B7"/>
    <w:rsid w:val="009769FC"/>
    <w:rsid w:val="00977D6F"/>
    <w:rsid w:val="00981320"/>
    <w:rsid w:val="00987A47"/>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1ABD"/>
    <w:rsid w:val="00A35373"/>
    <w:rsid w:val="00A35E91"/>
    <w:rsid w:val="00A40BFA"/>
    <w:rsid w:val="00A47DB7"/>
    <w:rsid w:val="00A50C18"/>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02CD"/>
    <w:rsid w:val="00B534A3"/>
    <w:rsid w:val="00B5513D"/>
    <w:rsid w:val="00B55497"/>
    <w:rsid w:val="00B55790"/>
    <w:rsid w:val="00B638D2"/>
    <w:rsid w:val="00B70561"/>
    <w:rsid w:val="00B748DE"/>
    <w:rsid w:val="00B76D03"/>
    <w:rsid w:val="00B81923"/>
    <w:rsid w:val="00B84934"/>
    <w:rsid w:val="00B84AB9"/>
    <w:rsid w:val="00B878E9"/>
    <w:rsid w:val="00B93B15"/>
    <w:rsid w:val="00BA0A32"/>
    <w:rsid w:val="00BA45FC"/>
    <w:rsid w:val="00BD1268"/>
    <w:rsid w:val="00BE33BB"/>
    <w:rsid w:val="00BE7691"/>
    <w:rsid w:val="00BF15F2"/>
    <w:rsid w:val="00BF51B2"/>
    <w:rsid w:val="00C13D26"/>
    <w:rsid w:val="00C41C33"/>
    <w:rsid w:val="00C437F8"/>
    <w:rsid w:val="00C472CC"/>
    <w:rsid w:val="00C51871"/>
    <w:rsid w:val="00C54BED"/>
    <w:rsid w:val="00C62B12"/>
    <w:rsid w:val="00C8055E"/>
    <w:rsid w:val="00C86CFE"/>
    <w:rsid w:val="00C943B1"/>
    <w:rsid w:val="00C96EBC"/>
    <w:rsid w:val="00CA3A07"/>
    <w:rsid w:val="00CB033A"/>
    <w:rsid w:val="00CB095B"/>
    <w:rsid w:val="00CB0D66"/>
    <w:rsid w:val="00CB52B1"/>
    <w:rsid w:val="00CB59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421A6"/>
    <w:rsid w:val="00D52310"/>
    <w:rsid w:val="00D55232"/>
    <w:rsid w:val="00D66033"/>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1AF8"/>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122F"/>
    <w:rsid w:val="00F12074"/>
    <w:rsid w:val="00F15F15"/>
    <w:rsid w:val="00F20892"/>
    <w:rsid w:val="00F2348E"/>
    <w:rsid w:val="00F34605"/>
    <w:rsid w:val="00F3716A"/>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EF9E-B8B3-4529-8D8F-F76E8BF3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6103</TotalTime>
  <Pages>3</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153</cp:revision>
  <cp:lastPrinted>2024-07-23T07:54:00Z</cp:lastPrinted>
  <dcterms:created xsi:type="dcterms:W3CDTF">2020-01-31T05:12:00Z</dcterms:created>
  <dcterms:modified xsi:type="dcterms:W3CDTF">2024-07-23T09:34:00Z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